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1FB985">
      <w:pPr>
        <w:keepNext w:val="0"/>
        <w:keepLines w:val="0"/>
        <w:pageBreakBefore w:val="0"/>
        <w:widowControl w:val="0"/>
        <w:numPr>
          <w:ilvl w:val="0"/>
          <w:numId w:val="0"/>
        </w:numPr>
        <w:kinsoku/>
        <w:wordWrap/>
        <w:overflowPunct/>
        <w:topLinePunct w:val="0"/>
        <w:autoSpaceDE/>
        <w:autoSpaceDN/>
        <w:bidi w:val="0"/>
        <w:spacing w:line="576" w:lineRule="exact"/>
        <w:jc w:val="center"/>
        <w:textAlignment w:val="auto"/>
        <w:outlineLvl w:val="0"/>
        <w:rPr>
          <w:rFonts w:hint="eastAsia" w:ascii="黑体" w:hAnsi="黑体" w:eastAsia="黑体" w:cs="黑体"/>
          <w:sz w:val="32"/>
          <w:szCs w:val="32"/>
        </w:rPr>
      </w:pPr>
      <w:r>
        <w:rPr>
          <w:rFonts w:hint="eastAsia" w:ascii="黑体" w:hAnsi="黑体" w:eastAsia="黑体" w:cs="黑体"/>
          <w:sz w:val="32"/>
          <w:szCs w:val="32"/>
          <w:lang w:val="en-US" w:eastAsia="zh-CN"/>
        </w:rPr>
        <w:t>甘肃云鼎建设集团有限公司债权情况</w:t>
      </w:r>
      <w:bookmarkStart w:id="0" w:name="_GoBack"/>
      <w:bookmarkEnd w:id="0"/>
    </w:p>
    <w:p w14:paraId="41B876A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1.债务企业介绍</w:t>
      </w:r>
    </w:p>
    <w:tbl>
      <w:tblPr>
        <w:tblStyle w:val="3"/>
        <w:tblW w:w="87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278"/>
        <w:gridCol w:w="6521"/>
      </w:tblGrid>
      <w:tr w14:paraId="2AB58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45" w:hRule="atLeast"/>
          <w:jc w:val="center"/>
        </w:trPr>
        <w:tc>
          <w:tcPr>
            <w:tcW w:w="2278" w:type="dxa"/>
            <w:shd w:val="clear" w:color="auto" w:fill="D9D9D9"/>
            <w:noWrap w:val="0"/>
            <w:vAlign w:val="center"/>
          </w:tcPr>
          <w:p w14:paraId="53C92439">
            <w:pPr>
              <w:widowControl w:val="0"/>
              <w:spacing w:line="240" w:lineRule="exact"/>
              <w:ind w:firstLine="0" w:firstLineChars="0"/>
              <w:jc w:val="center"/>
              <w:rPr>
                <w:rFonts w:ascii="方正仿宋简体" w:hAnsi="仿宋" w:eastAsia="方正仿宋简体" w:cs="Times New Roman"/>
                <w:b/>
                <w:bCs/>
                <w:kern w:val="2"/>
                <w:sz w:val="21"/>
                <w:szCs w:val="21"/>
                <w:lang w:val="en-US" w:eastAsia="zh-CN" w:bidi="ar-SA"/>
              </w:rPr>
            </w:pPr>
            <w:r>
              <w:rPr>
                <w:rFonts w:hint="eastAsia" w:ascii="方正仿宋简体" w:hAnsi="仿宋" w:eastAsia="方正仿宋简体" w:cs="Times New Roman"/>
                <w:b/>
                <w:bCs/>
                <w:kern w:val="2"/>
                <w:sz w:val="21"/>
                <w:szCs w:val="21"/>
                <w:lang w:val="en-US" w:eastAsia="zh-CN" w:bidi="ar-SA"/>
              </w:rPr>
              <w:t>公司全称</w:t>
            </w:r>
          </w:p>
        </w:tc>
        <w:tc>
          <w:tcPr>
            <w:tcW w:w="6521" w:type="dxa"/>
            <w:noWrap w:val="0"/>
            <w:vAlign w:val="center"/>
          </w:tcPr>
          <w:p w14:paraId="7633E798">
            <w:pPr>
              <w:widowControl w:val="0"/>
              <w:spacing w:line="240" w:lineRule="exact"/>
              <w:ind w:firstLine="0" w:firstLineChars="0"/>
              <w:jc w:val="both"/>
              <w:rPr>
                <w:rFonts w:ascii="方正仿宋简体" w:hAnsi="Arial" w:eastAsia="方正仿宋简体" w:cs="Arial"/>
                <w:kern w:val="2"/>
                <w:sz w:val="21"/>
                <w:szCs w:val="21"/>
                <w:lang w:val="en-US" w:eastAsia="zh-CN" w:bidi="ar-SA"/>
              </w:rPr>
            </w:pPr>
            <w:r>
              <w:rPr>
                <w:rFonts w:hint="eastAsia" w:ascii="方正仿宋简体" w:hAnsi="Arial" w:eastAsia="方正仿宋简体" w:cs="Arial"/>
                <w:kern w:val="2"/>
                <w:sz w:val="21"/>
                <w:szCs w:val="21"/>
                <w:lang w:val="en-US" w:eastAsia="zh-CN" w:bidi="ar-SA"/>
              </w:rPr>
              <w:t>甘肃云鼎建设集团有限公司</w:t>
            </w:r>
          </w:p>
        </w:tc>
      </w:tr>
      <w:tr w14:paraId="12F2F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68" w:hRule="atLeast"/>
          <w:jc w:val="center"/>
        </w:trPr>
        <w:tc>
          <w:tcPr>
            <w:tcW w:w="2278" w:type="dxa"/>
            <w:shd w:val="clear" w:color="auto" w:fill="D9D9D9"/>
            <w:noWrap w:val="0"/>
            <w:vAlign w:val="center"/>
          </w:tcPr>
          <w:p w14:paraId="15FA4C9D">
            <w:pPr>
              <w:widowControl w:val="0"/>
              <w:spacing w:line="240" w:lineRule="exact"/>
              <w:ind w:firstLine="0" w:firstLineChars="0"/>
              <w:jc w:val="center"/>
              <w:rPr>
                <w:rFonts w:ascii="方正仿宋简体" w:hAnsi="仿宋" w:eastAsia="方正仿宋简体" w:cs="Times New Roman"/>
                <w:b/>
                <w:bCs/>
                <w:kern w:val="2"/>
                <w:sz w:val="21"/>
                <w:szCs w:val="21"/>
                <w:lang w:val="en-US" w:eastAsia="zh-CN" w:bidi="ar-SA"/>
              </w:rPr>
            </w:pPr>
            <w:r>
              <w:rPr>
                <w:rFonts w:hint="eastAsia" w:ascii="方正仿宋简体" w:hAnsi="仿宋" w:eastAsia="方正仿宋简体" w:cs="Times New Roman"/>
                <w:b/>
                <w:bCs/>
                <w:kern w:val="2"/>
                <w:sz w:val="21"/>
                <w:szCs w:val="21"/>
                <w:lang w:val="en-US" w:eastAsia="zh-CN" w:bidi="ar-SA"/>
              </w:rPr>
              <w:t>公司类型</w:t>
            </w:r>
          </w:p>
        </w:tc>
        <w:tc>
          <w:tcPr>
            <w:tcW w:w="6521" w:type="dxa"/>
            <w:noWrap w:val="0"/>
            <w:vAlign w:val="center"/>
          </w:tcPr>
          <w:p w14:paraId="4C8D3CF9">
            <w:pPr>
              <w:widowControl w:val="0"/>
              <w:spacing w:line="240" w:lineRule="exact"/>
              <w:ind w:firstLine="0" w:firstLineChars="0"/>
              <w:jc w:val="both"/>
              <w:rPr>
                <w:rFonts w:ascii="方正仿宋简体" w:hAnsi="Arial" w:eastAsia="方正仿宋简体" w:cs="Arial"/>
                <w:kern w:val="2"/>
                <w:sz w:val="21"/>
                <w:szCs w:val="21"/>
                <w:lang w:val="en-US" w:eastAsia="zh-CN" w:bidi="ar-SA"/>
              </w:rPr>
            </w:pPr>
            <w:r>
              <w:rPr>
                <w:rFonts w:hint="eastAsia" w:ascii="方正仿宋简体" w:hAnsi="Arial" w:eastAsia="方正仿宋简体" w:cs="Arial"/>
                <w:kern w:val="2"/>
                <w:sz w:val="21"/>
                <w:szCs w:val="21"/>
                <w:lang w:val="en-US" w:eastAsia="zh-CN" w:bidi="ar-SA"/>
              </w:rPr>
              <w:t>有限公司</w:t>
            </w:r>
          </w:p>
        </w:tc>
      </w:tr>
      <w:tr w14:paraId="16D2B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68" w:hRule="atLeast"/>
          <w:jc w:val="center"/>
        </w:trPr>
        <w:tc>
          <w:tcPr>
            <w:tcW w:w="2278" w:type="dxa"/>
            <w:shd w:val="clear" w:color="auto" w:fill="D9D9D9"/>
            <w:noWrap w:val="0"/>
            <w:vAlign w:val="center"/>
          </w:tcPr>
          <w:p w14:paraId="0C114995">
            <w:pPr>
              <w:widowControl w:val="0"/>
              <w:spacing w:line="240" w:lineRule="exact"/>
              <w:ind w:firstLine="0" w:firstLineChars="0"/>
              <w:jc w:val="center"/>
              <w:rPr>
                <w:rFonts w:ascii="方正仿宋简体" w:hAnsi="仿宋" w:eastAsia="方正仿宋简体" w:cs="Times New Roman"/>
                <w:b/>
                <w:bCs/>
                <w:kern w:val="2"/>
                <w:sz w:val="21"/>
                <w:szCs w:val="21"/>
                <w:lang w:val="en-US" w:eastAsia="zh-CN" w:bidi="ar-SA"/>
              </w:rPr>
            </w:pPr>
            <w:r>
              <w:rPr>
                <w:rFonts w:hint="eastAsia" w:ascii="方正仿宋简体" w:hAnsi="仿宋" w:eastAsia="方正仿宋简体" w:cs="Times New Roman"/>
                <w:b/>
                <w:bCs/>
                <w:kern w:val="2"/>
                <w:sz w:val="21"/>
                <w:szCs w:val="21"/>
                <w:lang w:val="en-US" w:eastAsia="zh-CN" w:bidi="ar-SA"/>
              </w:rPr>
              <w:t>注册资本</w:t>
            </w:r>
          </w:p>
        </w:tc>
        <w:tc>
          <w:tcPr>
            <w:tcW w:w="6521" w:type="dxa"/>
            <w:noWrap w:val="0"/>
            <w:vAlign w:val="center"/>
          </w:tcPr>
          <w:p w14:paraId="2C4183E8">
            <w:pPr>
              <w:widowControl w:val="0"/>
              <w:spacing w:line="240" w:lineRule="exact"/>
              <w:ind w:firstLine="0" w:firstLineChars="0"/>
              <w:jc w:val="both"/>
              <w:rPr>
                <w:rFonts w:hint="eastAsia" w:ascii="方正仿宋简体" w:hAnsi="Arial" w:eastAsia="方正仿宋简体" w:cs="Arial"/>
                <w:kern w:val="2"/>
                <w:sz w:val="21"/>
                <w:szCs w:val="21"/>
                <w:lang w:val="en-US" w:eastAsia="zh-CN" w:bidi="ar-SA"/>
              </w:rPr>
            </w:pPr>
            <w:r>
              <w:rPr>
                <w:rFonts w:hint="eastAsia" w:ascii="方正仿宋简体" w:hAnsi="Arial" w:eastAsia="方正仿宋简体" w:cs="Arial"/>
                <w:kern w:val="2"/>
                <w:sz w:val="21"/>
                <w:szCs w:val="21"/>
                <w:lang w:val="en-US" w:eastAsia="zh-CN" w:bidi="ar-SA"/>
              </w:rPr>
              <w:t>1000万元（已实缴），其中法定代表人、</w:t>
            </w:r>
            <w:r>
              <w:rPr>
                <w:rFonts w:hint="eastAsia" w:ascii="方正仿宋简体" w:hAnsi="仿宋" w:eastAsia="方正仿宋简体" w:cs="Times New Roman"/>
                <w:kern w:val="2"/>
                <w:sz w:val="21"/>
                <w:szCs w:val="21"/>
                <w:lang w:val="en-US" w:eastAsia="zh-CN" w:bidi="ar-SA"/>
              </w:rPr>
              <w:t>实际控制人</w:t>
            </w:r>
            <w:r>
              <w:rPr>
                <w:rFonts w:hint="eastAsia" w:ascii="方正仿宋简体" w:hAnsi="Arial" w:eastAsia="方正仿宋简体" w:cs="Arial"/>
                <w:kern w:val="2"/>
                <w:sz w:val="21"/>
                <w:szCs w:val="21"/>
                <w:lang w:val="en-US" w:eastAsia="zh-CN" w:bidi="ar-SA"/>
              </w:rPr>
              <w:t>朱锦华，持股70%；股东张国平，持股30%。</w:t>
            </w:r>
          </w:p>
        </w:tc>
      </w:tr>
      <w:tr w14:paraId="2F49D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68" w:hRule="atLeast"/>
          <w:jc w:val="center"/>
        </w:trPr>
        <w:tc>
          <w:tcPr>
            <w:tcW w:w="2278" w:type="dxa"/>
            <w:shd w:val="clear" w:color="auto" w:fill="D9D9D9"/>
            <w:noWrap w:val="0"/>
            <w:vAlign w:val="center"/>
          </w:tcPr>
          <w:p w14:paraId="498D5E33">
            <w:pPr>
              <w:widowControl w:val="0"/>
              <w:spacing w:line="240" w:lineRule="exact"/>
              <w:ind w:firstLine="0" w:firstLineChars="0"/>
              <w:jc w:val="center"/>
              <w:rPr>
                <w:rFonts w:ascii="方正仿宋简体" w:hAnsi="仿宋" w:eastAsia="方正仿宋简体" w:cs="Times New Roman"/>
                <w:b/>
                <w:bCs/>
                <w:kern w:val="2"/>
                <w:sz w:val="21"/>
                <w:szCs w:val="21"/>
                <w:lang w:val="en-US" w:eastAsia="zh-CN" w:bidi="ar-SA"/>
              </w:rPr>
            </w:pPr>
            <w:r>
              <w:rPr>
                <w:rFonts w:hint="eastAsia" w:ascii="方正仿宋简体" w:hAnsi="仿宋" w:eastAsia="方正仿宋简体" w:cs="Times New Roman"/>
                <w:b/>
                <w:bCs/>
                <w:kern w:val="2"/>
                <w:sz w:val="21"/>
                <w:szCs w:val="21"/>
                <w:lang w:val="en-US" w:eastAsia="zh-CN" w:bidi="ar-SA"/>
              </w:rPr>
              <w:t>注册地址</w:t>
            </w:r>
          </w:p>
        </w:tc>
        <w:tc>
          <w:tcPr>
            <w:tcW w:w="6521" w:type="dxa"/>
            <w:noWrap w:val="0"/>
            <w:vAlign w:val="center"/>
          </w:tcPr>
          <w:p w14:paraId="3F351807">
            <w:pPr>
              <w:widowControl w:val="0"/>
              <w:spacing w:line="240" w:lineRule="exact"/>
              <w:ind w:firstLine="0" w:firstLineChars="0"/>
              <w:jc w:val="both"/>
              <w:rPr>
                <w:rFonts w:hint="default" w:ascii="方正仿宋简体" w:hAnsi="Arial" w:eastAsia="方正仿宋简体" w:cs="Arial"/>
                <w:kern w:val="2"/>
                <w:sz w:val="21"/>
                <w:szCs w:val="21"/>
                <w:lang w:val="en-US" w:eastAsia="zh-CN" w:bidi="ar-SA"/>
              </w:rPr>
            </w:pPr>
            <w:r>
              <w:rPr>
                <w:rFonts w:hint="eastAsia" w:ascii="方正仿宋简体" w:hAnsi="Arial" w:eastAsia="方正仿宋简体" w:cs="Arial"/>
                <w:kern w:val="2"/>
                <w:sz w:val="21"/>
                <w:szCs w:val="21"/>
                <w:lang w:val="en-US" w:eastAsia="zh-CN" w:bidi="ar-SA"/>
              </w:rPr>
              <w:t>甘肃省兰州市城关区庆阳路348-352号第7层001室</w:t>
            </w:r>
          </w:p>
        </w:tc>
      </w:tr>
      <w:tr w14:paraId="6B130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68" w:hRule="atLeast"/>
          <w:jc w:val="center"/>
        </w:trPr>
        <w:tc>
          <w:tcPr>
            <w:tcW w:w="2278" w:type="dxa"/>
            <w:shd w:val="clear" w:color="auto" w:fill="D9D9D9"/>
            <w:noWrap w:val="0"/>
            <w:vAlign w:val="center"/>
          </w:tcPr>
          <w:p w14:paraId="786B2905">
            <w:pPr>
              <w:widowControl w:val="0"/>
              <w:spacing w:line="240" w:lineRule="exact"/>
              <w:ind w:firstLine="0" w:firstLineChars="0"/>
              <w:jc w:val="center"/>
              <w:rPr>
                <w:rFonts w:ascii="方正仿宋简体" w:hAnsi="仿宋" w:eastAsia="方正仿宋简体" w:cs="Times New Roman"/>
                <w:b/>
                <w:bCs/>
                <w:kern w:val="2"/>
                <w:sz w:val="21"/>
                <w:szCs w:val="21"/>
                <w:lang w:val="en-US" w:eastAsia="zh-CN" w:bidi="ar-SA"/>
              </w:rPr>
            </w:pPr>
            <w:r>
              <w:rPr>
                <w:rFonts w:hint="eastAsia" w:ascii="方正仿宋简体" w:hAnsi="仿宋" w:eastAsia="方正仿宋简体" w:cs="Times New Roman"/>
                <w:b/>
                <w:bCs/>
                <w:kern w:val="2"/>
                <w:sz w:val="21"/>
                <w:szCs w:val="21"/>
                <w:lang w:val="en-US" w:eastAsia="zh-CN" w:bidi="ar-SA"/>
              </w:rPr>
              <w:t>统一社会信用代码</w:t>
            </w:r>
          </w:p>
        </w:tc>
        <w:tc>
          <w:tcPr>
            <w:tcW w:w="6521" w:type="dxa"/>
            <w:noWrap w:val="0"/>
            <w:vAlign w:val="center"/>
          </w:tcPr>
          <w:p w14:paraId="0F1AFA31">
            <w:pPr>
              <w:widowControl w:val="0"/>
              <w:spacing w:line="240" w:lineRule="exact"/>
              <w:ind w:firstLine="0" w:firstLineChars="0"/>
              <w:jc w:val="both"/>
              <w:rPr>
                <w:rFonts w:hint="default" w:ascii="方正仿宋简体" w:hAnsi="Arial" w:eastAsia="方正仿宋简体" w:cs="Arial"/>
                <w:kern w:val="2"/>
                <w:sz w:val="21"/>
                <w:szCs w:val="21"/>
                <w:lang w:val="en-US" w:eastAsia="zh-CN" w:bidi="ar-SA"/>
              </w:rPr>
            </w:pPr>
            <w:r>
              <w:rPr>
                <w:rFonts w:hint="eastAsia" w:ascii="方正仿宋简体" w:hAnsi="Arial" w:eastAsia="方正仿宋简体" w:cs="Arial"/>
                <w:kern w:val="2"/>
                <w:sz w:val="21"/>
                <w:szCs w:val="21"/>
                <w:lang w:val="en-US" w:eastAsia="zh-CN" w:bidi="ar-SA"/>
              </w:rPr>
              <w:t>91620102784034777P</w:t>
            </w:r>
          </w:p>
        </w:tc>
      </w:tr>
      <w:tr w14:paraId="42872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68" w:hRule="atLeast"/>
          <w:jc w:val="center"/>
        </w:trPr>
        <w:tc>
          <w:tcPr>
            <w:tcW w:w="2278" w:type="dxa"/>
            <w:shd w:val="clear" w:color="auto" w:fill="D9D9D9"/>
            <w:noWrap w:val="0"/>
            <w:vAlign w:val="center"/>
          </w:tcPr>
          <w:p w14:paraId="3C8F16CD">
            <w:pPr>
              <w:widowControl w:val="0"/>
              <w:spacing w:line="240" w:lineRule="exact"/>
              <w:ind w:firstLine="0" w:firstLineChars="0"/>
              <w:jc w:val="center"/>
              <w:rPr>
                <w:rFonts w:ascii="方正仿宋简体" w:hAnsi="仿宋" w:eastAsia="方正仿宋简体" w:cs="Times New Roman"/>
                <w:b/>
                <w:bCs/>
                <w:kern w:val="2"/>
                <w:sz w:val="21"/>
                <w:szCs w:val="21"/>
                <w:lang w:val="en-US" w:eastAsia="zh-CN" w:bidi="ar-SA"/>
              </w:rPr>
            </w:pPr>
            <w:r>
              <w:rPr>
                <w:rFonts w:hint="eastAsia" w:ascii="方正仿宋简体" w:hAnsi="仿宋" w:eastAsia="方正仿宋简体" w:cs="Times New Roman"/>
                <w:b/>
                <w:bCs/>
                <w:kern w:val="2"/>
                <w:sz w:val="21"/>
                <w:szCs w:val="21"/>
                <w:lang w:val="en-US" w:eastAsia="zh-CN" w:bidi="ar-SA"/>
              </w:rPr>
              <w:t>法定代表人</w:t>
            </w:r>
          </w:p>
        </w:tc>
        <w:tc>
          <w:tcPr>
            <w:tcW w:w="6521" w:type="dxa"/>
            <w:noWrap w:val="0"/>
            <w:vAlign w:val="center"/>
          </w:tcPr>
          <w:p w14:paraId="194488F3">
            <w:pPr>
              <w:widowControl w:val="0"/>
              <w:spacing w:line="240" w:lineRule="exact"/>
              <w:ind w:firstLine="0" w:firstLineChars="0"/>
              <w:jc w:val="both"/>
              <w:rPr>
                <w:rFonts w:hint="eastAsia" w:ascii="方正仿宋简体" w:hAnsi="Arial" w:eastAsia="方正仿宋简体" w:cs="Arial"/>
                <w:kern w:val="2"/>
                <w:sz w:val="21"/>
                <w:szCs w:val="21"/>
                <w:lang w:val="en-US" w:eastAsia="zh-CN" w:bidi="ar-SA"/>
              </w:rPr>
            </w:pPr>
            <w:r>
              <w:rPr>
                <w:rFonts w:hint="eastAsia" w:ascii="方正仿宋简体" w:hAnsi="Arial" w:eastAsia="方正仿宋简体" w:cs="Arial"/>
                <w:kern w:val="2"/>
                <w:sz w:val="21"/>
                <w:szCs w:val="21"/>
                <w:lang w:val="en-US" w:eastAsia="zh-CN" w:bidi="ar-SA"/>
              </w:rPr>
              <w:t>朱锦华</w:t>
            </w:r>
          </w:p>
        </w:tc>
      </w:tr>
      <w:tr w14:paraId="26C5F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991" w:hRule="atLeast"/>
          <w:jc w:val="center"/>
        </w:trPr>
        <w:tc>
          <w:tcPr>
            <w:tcW w:w="2278" w:type="dxa"/>
            <w:shd w:val="clear" w:color="auto" w:fill="D9D9D9"/>
            <w:noWrap w:val="0"/>
            <w:vAlign w:val="center"/>
          </w:tcPr>
          <w:p w14:paraId="612926A4">
            <w:pPr>
              <w:widowControl w:val="0"/>
              <w:spacing w:line="240" w:lineRule="exact"/>
              <w:ind w:firstLine="0" w:firstLineChars="0"/>
              <w:jc w:val="center"/>
              <w:rPr>
                <w:rFonts w:ascii="方正仿宋简体" w:hAnsi="仿宋" w:eastAsia="方正仿宋简体" w:cs="Times New Roman"/>
                <w:b/>
                <w:bCs/>
                <w:kern w:val="2"/>
                <w:sz w:val="21"/>
                <w:szCs w:val="21"/>
                <w:lang w:val="en-US" w:eastAsia="zh-CN" w:bidi="ar-SA"/>
              </w:rPr>
            </w:pPr>
            <w:r>
              <w:rPr>
                <w:rFonts w:hint="eastAsia" w:ascii="方正仿宋简体" w:hAnsi="仿宋" w:eastAsia="方正仿宋简体" w:cs="Times New Roman"/>
                <w:b/>
                <w:bCs/>
                <w:kern w:val="2"/>
                <w:sz w:val="21"/>
                <w:szCs w:val="21"/>
                <w:lang w:val="en-US" w:eastAsia="zh-CN" w:bidi="ar-SA"/>
              </w:rPr>
              <w:t>经营范围</w:t>
            </w:r>
          </w:p>
        </w:tc>
        <w:tc>
          <w:tcPr>
            <w:tcW w:w="6521" w:type="dxa"/>
            <w:noWrap w:val="0"/>
            <w:vAlign w:val="center"/>
          </w:tcPr>
          <w:p w14:paraId="7E427666">
            <w:pPr>
              <w:widowControl w:val="0"/>
              <w:spacing w:line="240" w:lineRule="exact"/>
              <w:ind w:firstLine="0" w:firstLineChars="0"/>
              <w:jc w:val="both"/>
              <w:rPr>
                <w:rFonts w:hint="eastAsia" w:ascii="方正仿宋简体" w:hAnsi="Arial" w:eastAsia="方正仿宋简体" w:cs="Arial"/>
                <w:kern w:val="2"/>
                <w:sz w:val="21"/>
                <w:szCs w:val="21"/>
                <w:lang w:val="en-US" w:eastAsia="zh-CN" w:bidi="ar-SA"/>
              </w:rPr>
            </w:pPr>
            <w:r>
              <w:rPr>
                <w:rFonts w:hint="eastAsia" w:ascii="方正仿宋简体" w:hAnsi="Arial" w:eastAsia="方正仿宋简体" w:cs="Arial"/>
                <w:kern w:val="2"/>
                <w:sz w:val="21"/>
                <w:szCs w:val="21"/>
                <w:lang w:val="en-US" w:eastAsia="zh-CN" w:bidi="ar-SA"/>
              </w:rPr>
              <w:t>智能化建设工程、供热与空调工程；装饰、装修工程设计；钢材、水暖材料、建筑设备、电梯设备、酒店设备、机电设备、建筑装饰材料、有色金属的销售；企业管理及咨询服务。</w:t>
            </w:r>
          </w:p>
        </w:tc>
      </w:tr>
      <w:tr w14:paraId="55F97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92" w:hRule="atLeast"/>
          <w:jc w:val="center"/>
        </w:trPr>
        <w:tc>
          <w:tcPr>
            <w:tcW w:w="2278" w:type="dxa"/>
            <w:shd w:val="clear" w:color="auto" w:fill="D9D9D9"/>
            <w:noWrap w:val="0"/>
            <w:vAlign w:val="center"/>
          </w:tcPr>
          <w:p w14:paraId="262A24A8">
            <w:pPr>
              <w:widowControl w:val="0"/>
              <w:spacing w:line="240" w:lineRule="exact"/>
              <w:ind w:firstLine="0" w:firstLineChars="0"/>
              <w:jc w:val="center"/>
              <w:rPr>
                <w:rFonts w:ascii="方正仿宋简体" w:hAnsi="仿宋" w:eastAsia="方正仿宋简体" w:cs="Times New Roman"/>
                <w:b/>
                <w:bCs/>
                <w:kern w:val="2"/>
                <w:sz w:val="21"/>
                <w:szCs w:val="21"/>
                <w:lang w:val="en-US" w:eastAsia="zh-CN" w:bidi="ar-SA"/>
              </w:rPr>
            </w:pPr>
            <w:r>
              <w:rPr>
                <w:rFonts w:hint="eastAsia" w:ascii="方正仿宋简体" w:hAnsi="仿宋" w:eastAsia="方正仿宋简体" w:cs="Times New Roman"/>
                <w:b/>
                <w:bCs/>
                <w:kern w:val="2"/>
                <w:sz w:val="21"/>
                <w:szCs w:val="21"/>
                <w:lang w:val="en-US" w:eastAsia="zh-CN" w:bidi="ar-SA"/>
              </w:rPr>
              <w:t>经营期限</w:t>
            </w:r>
          </w:p>
        </w:tc>
        <w:tc>
          <w:tcPr>
            <w:tcW w:w="6521" w:type="dxa"/>
            <w:noWrap w:val="0"/>
            <w:vAlign w:val="center"/>
          </w:tcPr>
          <w:p w14:paraId="05A46FF8">
            <w:pPr>
              <w:widowControl w:val="0"/>
              <w:spacing w:line="240" w:lineRule="exact"/>
              <w:ind w:firstLine="0" w:firstLineChars="0"/>
              <w:jc w:val="both"/>
              <w:rPr>
                <w:rFonts w:hint="default" w:ascii="方正仿宋简体" w:hAnsi="Arial" w:eastAsia="方正仿宋简体" w:cs="Arial"/>
                <w:kern w:val="2"/>
                <w:sz w:val="21"/>
                <w:szCs w:val="21"/>
                <w:lang w:val="en-US" w:eastAsia="zh-CN" w:bidi="ar-SA"/>
              </w:rPr>
            </w:pPr>
            <w:r>
              <w:rPr>
                <w:rFonts w:hint="eastAsia" w:ascii="方正仿宋简体" w:hAnsi="Arial" w:eastAsia="方正仿宋简体" w:cs="Arial"/>
                <w:kern w:val="2"/>
                <w:sz w:val="21"/>
                <w:szCs w:val="21"/>
                <w:lang w:val="en-US" w:eastAsia="zh-CN" w:bidi="ar-SA"/>
              </w:rPr>
              <w:t>2006年4月20日-2026年4月19日，工商登记为存续，实际已停止经营。</w:t>
            </w:r>
          </w:p>
        </w:tc>
      </w:tr>
    </w:tbl>
    <w:p w14:paraId="3EFBDCD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2.债权情况</w:t>
      </w:r>
    </w:p>
    <w:p w14:paraId="5B77188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lang w:val="en-US" w:eastAsia="zh-CN"/>
        </w:rPr>
        <w:t>根据兰州农商银行复兴支行发出的邀请函中数据显示，债权本息合计24847.36万元，其中本金余额11500万元，利息13347.36万元。</w:t>
      </w:r>
      <w:r>
        <w:rPr>
          <w:rFonts w:hint="eastAsia" w:ascii="仿宋_GB2312" w:hAnsi="仿宋_GB2312" w:eastAsia="仿宋_GB2312" w:cs="仿宋_GB2312"/>
          <w:sz w:val="32"/>
          <w:szCs w:val="32"/>
          <w:highlight w:val="none"/>
          <w:lang w:val="en-US" w:eastAsia="zh-CN"/>
        </w:rPr>
        <w:t>担保方式为抵押+保证。</w:t>
      </w:r>
    </w:p>
    <w:p w14:paraId="01BFE43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3.抵押物情况</w:t>
      </w:r>
    </w:p>
    <w:p w14:paraId="30F8FBE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仿宋_GB2312" w:cs="Times New Roman"/>
          <w:sz w:val="32"/>
          <w:szCs w:val="20"/>
          <w:lang w:eastAsia="zh-CN"/>
        </w:rPr>
      </w:pPr>
      <w:r>
        <w:rPr>
          <w:rFonts w:hint="eastAsia" w:ascii="仿宋_GB2312" w:hAnsi="仿宋_GB2312" w:eastAsia="仿宋_GB2312" w:cs="仿宋_GB2312"/>
          <w:sz w:val="32"/>
          <w:szCs w:val="32"/>
          <w:lang w:val="en-US" w:eastAsia="zh-CN"/>
        </w:rPr>
        <w:t>抵押物为云鼎建设名下位于定西市临洮县洮阳镇校场西路华城国际住宅小区8幢东单元一层，建筑面积340.79㎡的商业用房、8-1幢楼间1-2层，建筑面积1147.21㎡的商业用房、住宅小区3幢负一至地上15层的商业用房，建筑面积14069.4㎡的</w:t>
      </w:r>
      <w:r>
        <w:rPr>
          <w:rFonts w:hint="eastAsia" w:ascii="Times New Roman" w:hAnsi="Times New Roman" w:eastAsia="仿宋_GB2312" w:cs="Times New Roman"/>
          <w:sz w:val="32"/>
          <w:szCs w:val="20"/>
        </w:rPr>
        <w:t>商业用房</w:t>
      </w:r>
      <w:r>
        <w:rPr>
          <w:rFonts w:hint="eastAsia" w:ascii="Times New Roman" w:hAnsi="Times New Roman" w:eastAsia="仿宋_GB2312" w:cs="Times New Roman"/>
          <w:sz w:val="32"/>
          <w:szCs w:val="20"/>
          <w:lang w:eastAsia="zh-CN"/>
        </w:rPr>
        <w:t>。</w:t>
      </w:r>
    </w:p>
    <w:p w14:paraId="0CBEFA0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4.保证担保</w:t>
      </w:r>
    </w:p>
    <w:p w14:paraId="2BE942A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由自然人朱锦华、张国平、朱国璧提供连带保证担保责任。</w:t>
      </w:r>
    </w:p>
    <w:p w14:paraId="557E185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保证人朱锦华，身份证号：622427197811010052，住址：甘肃省兰州市城关区中山林9号602，系甘肃云鼎建设集团有限公司法定代表人及实际控制人。</w:t>
      </w:r>
    </w:p>
    <w:p w14:paraId="0A41A15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保证人朱国璧，身份证号：622427195411140019，地址：甘肃省临洮县洮阳镇西关三巷36号，系朱锦华之父。</w:t>
      </w:r>
    </w:p>
    <w:p w14:paraId="549E2FE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保证人张国平，身份证号：62010419851119196，身份证地址：甘肃省兰州市西固区红崖子村12号。系甘肃云鼎建设集团有限公司股东。</w:t>
      </w:r>
    </w:p>
    <w:p w14:paraId="75469DA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5.诉讼情况</w:t>
      </w:r>
    </w:p>
    <w:p w14:paraId="5DBD2987">
      <w:pPr>
        <w:ind w:firstLine="640" w:firstLineChars="200"/>
      </w:pPr>
      <w:r>
        <w:rPr>
          <w:rFonts w:hint="eastAsia" w:ascii="仿宋_GB2312" w:hAnsi="仿宋_GB2312" w:eastAsia="仿宋_GB2312" w:cs="仿宋_GB2312"/>
          <w:sz w:val="32"/>
          <w:szCs w:val="32"/>
          <w:highlight w:val="none"/>
          <w:lang w:val="en-US" w:eastAsia="zh-CN"/>
        </w:rPr>
        <w:t>该债权已由甘肃省高级人民法院出具的（2017）甘民初122号民事调解书调解，双方达成和解。债务人在没按期履行和解协议的情况下，原债权银行于2025年3月10日申请法院恢复执行。</w:t>
      </w:r>
    </w:p>
    <w:p w14:paraId="14BAFF48"/>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方正仿宋简体">
    <w:altName w:val="微软雅黑"/>
    <w:panose1 w:val="02000000000000000000"/>
    <w:charset w:val="00"/>
    <w:family w:val="script"/>
    <w:pitch w:val="default"/>
    <w:sig w:usb0="00000000" w:usb1="00000000" w:usb2="00000012" w:usb3="00000000" w:csb0="00040001"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KSOF025BBAAE">
    <w:panose1 w:val="020B0503020204020204"/>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67461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Indent"/>
    <w:basedOn w:val="1"/>
    <w:qFormat/>
    <w:uiPriority w:val="0"/>
    <w:pPr>
      <w:ind w:firstLine="420"/>
    </w:pPr>
    <w:rPr>
      <w:sz w:val="21"/>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2026-10-27T09:35:54Z</dcterms:created>
  <dc:creator>Administrator</dc:creator>
  <cp:lastModifiedBy>TR. 饰界小屋</cp:lastModifiedBy>
  <dcterms:modified xsi:type="dcterms:W3CDTF">2026-10-27T09:36:27Z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eyJoZGlkIjoiMDFiNmNjY2RiM2NmOWQ4NzE4ZWJlZDEwNDM0ZGI4YmMiLCJ1c2VySWQiOiI5OTM1OTc1MzIifQ==</vt:lpwstr>
  </property>
  <property fmtid="{D5CDD505-2E9C-101B-9397-08002B2CF9AE}" pid="4" name="ICV">
    <vt:lpwstr>EDFA55BF64F4435A95D794432E13E116_13</vt:lpwstr>
  </property>
</Properties>
</file>